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A729F" w14:textId="3A5ACD45" w:rsidR="00784535" w:rsidRDefault="00784535" w:rsidP="004E0BE9">
      <w:pPr>
        <w:tabs>
          <w:tab w:val="left" w:pos="1862"/>
        </w:tabs>
      </w:pPr>
    </w:p>
    <w:p w14:paraId="5ECF0CA4" w14:textId="1EE10A74" w:rsidR="004E0BE9" w:rsidRPr="00A6336C" w:rsidRDefault="00784535" w:rsidP="00784535">
      <w:pPr>
        <w:pStyle w:val="ANNEXZ"/>
        <w:pageBreakBefore w:val="0"/>
        <w:numPr>
          <w:ilvl w:val="0"/>
          <w:numId w:val="0"/>
        </w:numPr>
        <w:tabs>
          <w:tab w:val="left" w:pos="1862"/>
        </w:tabs>
      </w:pPr>
      <w:r>
        <w:t>Annex ZZ</w:t>
      </w:r>
      <w:r w:rsidR="004E0BE9" w:rsidRPr="00B97CC9">
        <w:br/>
      </w:r>
      <w:r w:rsidR="004E0BE9" w:rsidRPr="00B97CC9">
        <w:rPr>
          <w:b w:val="0"/>
        </w:rPr>
        <w:t>(informative)</w:t>
      </w:r>
      <w:r w:rsidR="004E0BE9" w:rsidRPr="00B97CC9">
        <w:br/>
      </w:r>
      <w:r w:rsidR="004E0BE9" w:rsidRPr="00B97CC9">
        <w:br/>
        <w:t>Relationship between this European Standard and the Essential Requirements of EU Directive </w:t>
      </w:r>
      <w:r w:rsidR="004E0BE9">
        <w:t xml:space="preserve">(EU) </w:t>
      </w:r>
      <w:r w:rsidR="004E0BE9" w:rsidRPr="00B97CC9">
        <w:t>20</w:t>
      </w:r>
      <w:r w:rsidR="004E0BE9">
        <w:t>16</w:t>
      </w:r>
      <w:r w:rsidR="004E0BE9" w:rsidRPr="00B97CC9">
        <w:t>/</w:t>
      </w:r>
      <w:r w:rsidR="004E0BE9">
        <w:t>797</w:t>
      </w:r>
      <w:r w:rsidR="004E0BE9" w:rsidRPr="00B97CC9">
        <w:t xml:space="preserve"> aimed to be covered</w:t>
      </w:r>
    </w:p>
    <w:p w14:paraId="4824E358" w14:textId="1F4098F4" w:rsidR="004E0BE9" w:rsidRPr="00CB6ACA" w:rsidRDefault="00BD661E" w:rsidP="008B3279">
      <w:pPr>
        <w:pStyle w:val="BodyText"/>
      </w:pPr>
      <w:r w:rsidRPr="00BD661E">
        <w:t>This European Standard has been prepared under Commission implementing decision C(2023)1057 of 20.2.2023 on a standardisation request to the European Committee for Standardisation and the European Committee for Electrotechnical Standardisation as regards products in support of Directive (EU) 2016/797 of the European Parliament and of the Council (M/591)  to provide one voluntary means of conforming to (parts of) Essential Requirements of Directive (EU) 2016/797 of the European Parliament and of the Council of 11 May 2016 on interoperability of the rail system (recast) as specified in the relevant technical specifications for interoperability (TSI).</w:t>
      </w:r>
    </w:p>
    <w:p w14:paraId="79565EAB" w14:textId="198D738B" w:rsidR="007E76F5" w:rsidRPr="00CB6ACA" w:rsidRDefault="004E0BE9" w:rsidP="008B3279">
      <w:pPr>
        <w:pStyle w:val="BodyText"/>
      </w:pPr>
      <w:r w:rsidRPr="00CB6ACA">
        <w:t xml:space="preserve">Once this standard is cited in the Official Journal of the European Union under that Directive, compliance with the normative clauses of this standard given in </w:t>
      </w:r>
      <w:r w:rsidRPr="006D57F5">
        <w:rPr>
          <w:color w:val="FF0000"/>
        </w:rPr>
        <w:t>[Table Z</w:t>
      </w:r>
      <w:r w:rsidR="00B57010">
        <w:rPr>
          <w:color w:val="FF0000"/>
        </w:rPr>
        <w:t>Z</w:t>
      </w:r>
      <w:r w:rsidRPr="006D57F5">
        <w:rPr>
          <w:color w:val="FF0000"/>
        </w:rPr>
        <w:t>.1 for freight wagons] [, and Table Z</w:t>
      </w:r>
      <w:r w:rsidR="00B57010">
        <w:rPr>
          <w:color w:val="FF0000"/>
        </w:rPr>
        <w:t>Z</w:t>
      </w:r>
      <w:r w:rsidRPr="006D57F5">
        <w:rPr>
          <w:color w:val="FF0000"/>
        </w:rPr>
        <w:t xml:space="preserve">.2 for locomotive and passenger RST, and …..] </w:t>
      </w:r>
      <w:r w:rsidRPr="006D57F5">
        <w:t>c</w:t>
      </w:r>
      <w:r w:rsidRPr="00CB6ACA">
        <w:t xml:space="preserve">onfers, within the limits of the scope of this standard, a presumption of conformity with the </w:t>
      </w:r>
      <w:r w:rsidRPr="008B3279">
        <w:t>corresponding</w:t>
      </w:r>
      <w:r w:rsidRPr="00CB6ACA">
        <w:t xml:space="preserve"> Essential Requirements of that Directive as specified in the technical specifications for interoperability (TSI), and associated EFTA regulations.</w:t>
      </w:r>
    </w:p>
    <w:p w14:paraId="5DB73902" w14:textId="3E1DD893" w:rsidR="004E0BE9" w:rsidRDefault="004E0BE9" w:rsidP="007E76F5">
      <w:pPr>
        <w:pStyle w:val="Tabletitle"/>
        <w:pageBreakBefore/>
        <w:autoSpaceDE w:val="0"/>
        <w:autoSpaceDN w:val="0"/>
        <w:adjustRightInd w:val="0"/>
        <w:outlineLvl w:val="0"/>
        <w:rPr>
          <w:szCs w:val="24"/>
        </w:rPr>
      </w:pPr>
      <w:r w:rsidRPr="006D57F5">
        <w:rPr>
          <w:szCs w:val="24"/>
        </w:rPr>
        <w:lastRenderedPageBreak/>
        <w:t>Table Z</w:t>
      </w:r>
      <w:r w:rsidR="00B57010">
        <w:rPr>
          <w:szCs w:val="24"/>
        </w:rPr>
        <w:t>Z</w:t>
      </w:r>
      <w:r w:rsidRPr="006D57F5">
        <w:rPr>
          <w:szCs w:val="24"/>
        </w:rPr>
        <w:t>.1</w:t>
      </w:r>
      <w:r w:rsidRPr="00B97CC9">
        <w:rPr>
          <w:szCs w:val="24"/>
        </w:rPr>
        <w:t> — Correspondence between this European Standard</w:t>
      </w:r>
      <w:r>
        <w:rPr>
          <w:szCs w:val="24"/>
        </w:rPr>
        <w:t>, Commission Regulation (EU) N</w:t>
      </w:r>
      <w:r w:rsidRPr="00B97CC9">
        <w:rPr>
          <w:szCs w:val="24"/>
        </w:rPr>
        <w:t>° </w:t>
      </w:r>
      <w:r w:rsidR="000A3A79">
        <w:rPr>
          <w:szCs w:val="24"/>
        </w:rPr>
        <w:t>XXX</w:t>
      </w:r>
      <w:r w:rsidRPr="00B97CC9">
        <w:rPr>
          <w:szCs w:val="24"/>
        </w:rPr>
        <w:t>/</w:t>
      </w:r>
      <w:r w:rsidR="000A3A79">
        <w:rPr>
          <w:szCs w:val="24"/>
        </w:rPr>
        <w:t>XXXX</w:t>
      </w:r>
      <w:r w:rsidRPr="00B97CC9">
        <w:rPr>
          <w:szCs w:val="24"/>
        </w:rPr>
        <w:t xml:space="preserve"> concerning the </w:t>
      </w:r>
      <w:r>
        <w:rPr>
          <w:szCs w:val="24"/>
        </w:rPr>
        <w:t>T</w:t>
      </w:r>
      <w:r w:rsidRPr="00B97CC9">
        <w:rPr>
          <w:szCs w:val="24"/>
        </w:rPr>
        <w:t xml:space="preserve">echnical </w:t>
      </w:r>
      <w:r>
        <w:rPr>
          <w:szCs w:val="24"/>
        </w:rPr>
        <w:t>S</w:t>
      </w:r>
      <w:r w:rsidRPr="00B97CC9">
        <w:rPr>
          <w:szCs w:val="24"/>
        </w:rPr>
        <w:t xml:space="preserve">pecification for </w:t>
      </w:r>
      <w:r>
        <w:rPr>
          <w:szCs w:val="24"/>
        </w:rPr>
        <w:t>I</w:t>
      </w:r>
      <w:r w:rsidRPr="00B97CC9">
        <w:rPr>
          <w:szCs w:val="24"/>
        </w:rPr>
        <w:t xml:space="preserve">nteroperability </w:t>
      </w:r>
      <w:r>
        <w:rPr>
          <w:szCs w:val="24"/>
        </w:rPr>
        <w:t xml:space="preserve">(TSI) </w:t>
      </w:r>
      <w:r w:rsidRPr="00B97CC9">
        <w:rPr>
          <w:szCs w:val="24"/>
        </w:rPr>
        <w:t>relating</w:t>
      </w:r>
      <w:r w:rsidR="000A3A79">
        <w:rPr>
          <w:szCs w:val="24"/>
        </w:rPr>
        <w:t xml:space="preserve"> to</w:t>
      </w:r>
      <w:r w:rsidRPr="00B97CC9">
        <w:rPr>
          <w:szCs w:val="24"/>
        </w:rPr>
        <w:t xml:space="preserve"> </w:t>
      </w:r>
      <w:r w:rsidR="000A3A79">
        <w:rPr>
          <w:szCs w:val="24"/>
        </w:rPr>
        <w:t>xxxxxxx</w:t>
      </w:r>
      <w:r w:rsidRPr="007E76F5">
        <w:rPr>
          <w:szCs w:val="24"/>
          <w:vertAlign w:val="superscript"/>
        </w:rPr>
        <w:t>*</w:t>
      </w:r>
      <w:r w:rsidRPr="00B97CC9">
        <w:rPr>
          <w:szCs w:val="24"/>
        </w:rPr>
        <w:t xml:space="preserve"> and Directive </w:t>
      </w:r>
      <w:r>
        <w:rPr>
          <w:szCs w:val="24"/>
        </w:rPr>
        <w:t xml:space="preserve">(EU) </w:t>
      </w:r>
      <w:r w:rsidRPr="00B97CC9">
        <w:rPr>
          <w:szCs w:val="24"/>
        </w:rPr>
        <w:t>20</w:t>
      </w:r>
      <w:r>
        <w:rPr>
          <w:szCs w:val="24"/>
        </w:rPr>
        <w:t>16</w:t>
      </w:r>
      <w:r w:rsidRPr="00B97CC9">
        <w:rPr>
          <w:szCs w:val="24"/>
        </w:rPr>
        <w:t>/</w:t>
      </w:r>
      <w:r>
        <w:rPr>
          <w:szCs w:val="24"/>
        </w:rPr>
        <w:t>797</w:t>
      </w:r>
    </w:p>
    <w:tbl>
      <w:tblPr>
        <w:tblW w:w="9011" w:type="dxa"/>
        <w:jc w:val="center"/>
        <w:tblBorders>
          <w:top w:val="single" w:sz="18" w:space="0" w:color="auto"/>
          <w:left w:val="single" w:sz="18" w:space="0" w:color="auto"/>
          <w:bottom w:val="single" w:sz="18" w:space="0" w:color="auto"/>
          <w:right w:val="single" w:sz="18" w:space="0" w:color="auto"/>
          <w:insideH w:val="single" w:sz="6" w:space="0" w:color="auto"/>
          <w:insideV w:val="single" w:sz="4" w:space="0" w:color="auto"/>
        </w:tblBorders>
        <w:tblLayout w:type="fixed"/>
        <w:tblCellMar>
          <w:left w:w="70" w:type="dxa"/>
          <w:right w:w="70" w:type="dxa"/>
        </w:tblCellMar>
        <w:tblLook w:val="0000" w:firstRow="0" w:lastRow="0" w:firstColumn="0" w:lastColumn="0" w:noHBand="0" w:noVBand="0"/>
      </w:tblPr>
      <w:tblGrid>
        <w:gridCol w:w="1836"/>
        <w:gridCol w:w="3119"/>
        <w:gridCol w:w="2126"/>
        <w:gridCol w:w="1930"/>
      </w:tblGrid>
      <w:tr w:rsidR="004E0BE9" w:rsidRPr="007D5631" w14:paraId="081958C0" w14:textId="77777777" w:rsidTr="00835A42">
        <w:trPr>
          <w:jc w:val="center"/>
        </w:trPr>
        <w:tc>
          <w:tcPr>
            <w:tcW w:w="1836" w:type="dxa"/>
            <w:tcBorders>
              <w:top w:val="single" w:sz="18" w:space="0" w:color="auto"/>
              <w:bottom w:val="single" w:sz="6" w:space="0" w:color="auto"/>
            </w:tcBorders>
          </w:tcPr>
          <w:p w14:paraId="5912D977" w14:textId="77777777" w:rsidR="004E0BE9" w:rsidRPr="007D5631" w:rsidRDefault="004E0BE9" w:rsidP="007D5631">
            <w:pPr>
              <w:pStyle w:val="Tableheader"/>
              <w:rPr>
                <w:b/>
              </w:rPr>
            </w:pPr>
            <w:r w:rsidRPr="007D5631">
              <w:rPr>
                <w:b/>
              </w:rPr>
              <w:t>Essential Requirements of Directive (EU) 2016/797</w:t>
            </w:r>
          </w:p>
        </w:tc>
        <w:tc>
          <w:tcPr>
            <w:tcW w:w="3119" w:type="dxa"/>
            <w:tcBorders>
              <w:top w:val="single" w:sz="18" w:space="0" w:color="auto"/>
              <w:bottom w:val="single" w:sz="6" w:space="0" w:color="auto"/>
            </w:tcBorders>
          </w:tcPr>
          <w:p w14:paraId="432D9EF8" w14:textId="77777777" w:rsidR="004E0BE9" w:rsidRPr="007D5631" w:rsidRDefault="004E0BE9" w:rsidP="007D5631">
            <w:pPr>
              <w:pStyle w:val="Tableheader"/>
              <w:rPr>
                <w:b/>
              </w:rPr>
            </w:pPr>
            <w:r w:rsidRPr="007D5631">
              <w:rPr>
                <w:b/>
              </w:rPr>
              <w:t xml:space="preserve">Clauses of the Annex to the Technical Specification for Interoperability (TSI) </w:t>
            </w:r>
          </w:p>
        </w:tc>
        <w:tc>
          <w:tcPr>
            <w:tcW w:w="2126" w:type="dxa"/>
            <w:tcBorders>
              <w:top w:val="single" w:sz="18" w:space="0" w:color="auto"/>
              <w:bottom w:val="single" w:sz="6" w:space="0" w:color="auto"/>
            </w:tcBorders>
          </w:tcPr>
          <w:p w14:paraId="483869C8" w14:textId="77777777" w:rsidR="004E0BE9" w:rsidRPr="007D5631" w:rsidRDefault="004E0BE9" w:rsidP="007D5631">
            <w:pPr>
              <w:pStyle w:val="Tableheader"/>
              <w:rPr>
                <w:b/>
              </w:rPr>
            </w:pPr>
            <w:r w:rsidRPr="007D5631">
              <w:rPr>
                <w:b/>
              </w:rPr>
              <w:t>Clause/ subclauses of this European Standard</w:t>
            </w:r>
          </w:p>
        </w:tc>
        <w:tc>
          <w:tcPr>
            <w:tcW w:w="1930" w:type="dxa"/>
            <w:tcBorders>
              <w:top w:val="single" w:sz="18" w:space="0" w:color="auto"/>
              <w:bottom w:val="single" w:sz="6" w:space="0" w:color="auto"/>
            </w:tcBorders>
          </w:tcPr>
          <w:p w14:paraId="373F07C1" w14:textId="77777777" w:rsidR="004E0BE9" w:rsidRPr="007D5631" w:rsidRDefault="004E0BE9" w:rsidP="007D5631">
            <w:pPr>
              <w:pStyle w:val="Tableheader"/>
              <w:rPr>
                <w:b/>
              </w:rPr>
            </w:pPr>
            <w:r w:rsidRPr="007D5631">
              <w:rPr>
                <w:b/>
              </w:rPr>
              <w:t>Comments</w:t>
            </w:r>
          </w:p>
        </w:tc>
      </w:tr>
      <w:tr w:rsidR="004E0BE9" w:rsidRPr="00E8547B" w14:paraId="57A2452A" w14:textId="77777777" w:rsidTr="00835A42">
        <w:trPr>
          <w:jc w:val="center"/>
        </w:trPr>
        <w:tc>
          <w:tcPr>
            <w:tcW w:w="1836" w:type="dxa"/>
            <w:vMerge w:val="restart"/>
            <w:tcBorders>
              <w:top w:val="single" w:sz="6" w:space="0" w:color="auto"/>
              <w:bottom w:val="single" w:sz="6" w:space="0" w:color="auto"/>
            </w:tcBorders>
          </w:tcPr>
          <w:p w14:paraId="4F6E64DD" w14:textId="77777777" w:rsidR="004E0BE9" w:rsidRPr="00E8547B" w:rsidRDefault="004E0BE9" w:rsidP="007D5631">
            <w:pPr>
              <w:pStyle w:val="Tablebody"/>
            </w:pPr>
            <w:r w:rsidRPr="006D57F5">
              <w:t xml:space="preserve">Section 3 </w:t>
            </w:r>
            <w:r w:rsidRPr="00E8547B">
              <w:t xml:space="preserve">of the Annex to the TSI indicates the correspondence between the TSI clauses and the </w:t>
            </w:r>
            <w:r>
              <w:t>E</w:t>
            </w:r>
            <w:r w:rsidRPr="00E8547B">
              <w:t xml:space="preserve">ssential </w:t>
            </w:r>
            <w:r>
              <w:t>R</w:t>
            </w:r>
            <w:r w:rsidRPr="00E8547B">
              <w:t>equirements of Directive (EU) 2016/797</w:t>
            </w:r>
          </w:p>
        </w:tc>
        <w:tc>
          <w:tcPr>
            <w:tcW w:w="3119" w:type="dxa"/>
            <w:tcBorders>
              <w:top w:val="single" w:sz="6" w:space="0" w:color="auto"/>
              <w:bottom w:val="single" w:sz="6" w:space="0" w:color="auto"/>
            </w:tcBorders>
          </w:tcPr>
          <w:p w14:paraId="59204514" w14:textId="77777777" w:rsidR="004E0BE9" w:rsidRPr="00E8547B" w:rsidRDefault="004E0BE9" w:rsidP="007D5631">
            <w:pPr>
              <w:pStyle w:val="Tablebody"/>
              <w:rPr>
                <w:color w:val="000000"/>
                <w:lang w:val="en-US"/>
              </w:rPr>
            </w:pPr>
          </w:p>
        </w:tc>
        <w:tc>
          <w:tcPr>
            <w:tcW w:w="2126" w:type="dxa"/>
            <w:tcBorders>
              <w:top w:val="single" w:sz="6" w:space="0" w:color="auto"/>
              <w:bottom w:val="single" w:sz="6" w:space="0" w:color="auto"/>
            </w:tcBorders>
          </w:tcPr>
          <w:p w14:paraId="46070574" w14:textId="77777777" w:rsidR="004E0BE9" w:rsidRPr="00E8547B" w:rsidRDefault="004E0BE9" w:rsidP="007D5631">
            <w:pPr>
              <w:pStyle w:val="Tablebody"/>
            </w:pPr>
          </w:p>
        </w:tc>
        <w:tc>
          <w:tcPr>
            <w:tcW w:w="1930" w:type="dxa"/>
            <w:tcBorders>
              <w:top w:val="single" w:sz="6" w:space="0" w:color="auto"/>
              <w:bottom w:val="single" w:sz="6" w:space="0" w:color="auto"/>
            </w:tcBorders>
          </w:tcPr>
          <w:p w14:paraId="16691048" w14:textId="77777777" w:rsidR="004E0BE9" w:rsidRPr="00E8547B" w:rsidRDefault="004E0BE9" w:rsidP="007D5631">
            <w:pPr>
              <w:pStyle w:val="Tablebody"/>
              <w:rPr>
                <w:rFonts w:cs="Arial"/>
                <w:kern w:val="18"/>
                <w:lang w:val="en-US"/>
              </w:rPr>
            </w:pPr>
          </w:p>
        </w:tc>
      </w:tr>
      <w:tr w:rsidR="004E0BE9" w:rsidRPr="00E8547B" w14:paraId="209943B5" w14:textId="77777777" w:rsidTr="00835A42">
        <w:trPr>
          <w:jc w:val="center"/>
        </w:trPr>
        <w:tc>
          <w:tcPr>
            <w:tcW w:w="1836" w:type="dxa"/>
            <w:vMerge/>
            <w:tcBorders>
              <w:top w:val="single" w:sz="6" w:space="0" w:color="auto"/>
              <w:bottom w:val="single" w:sz="6" w:space="0" w:color="auto"/>
            </w:tcBorders>
          </w:tcPr>
          <w:p w14:paraId="07444024" w14:textId="77777777" w:rsidR="004E0BE9" w:rsidRPr="00E8547B" w:rsidRDefault="004E0BE9" w:rsidP="007D5631">
            <w:pPr>
              <w:pStyle w:val="Tablebody"/>
            </w:pPr>
          </w:p>
        </w:tc>
        <w:tc>
          <w:tcPr>
            <w:tcW w:w="3119" w:type="dxa"/>
            <w:tcBorders>
              <w:top w:val="single" w:sz="6" w:space="0" w:color="auto"/>
              <w:bottom w:val="single" w:sz="6" w:space="0" w:color="auto"/>
            </w:tcBorders>
          </w:tcPr>
          <w:p w14:paraId="605D5D6C" w14:textId="77777777" w:rsidR="004E0BE9" w:rsidRPr="00E8547B" w:rsidRDefault="004E0BE9" w:rsidP="007D5631">
            <w:pPr>
              <w:pStyle w:val="Tablebody"/>
              <w:rPr>
                <w:color w:val="000000"/>
              </w:rPr>
            </w:pPr>
          </w:p>
        </w:tc>
        <w:tc>
          <w:tcPr>
            <w:tcW w:w="2126" w:type="dxa"/>
            <w:tcBorders>
              <w:top w:val="single" w:sz="6" w:space="0" w:color="auto"/>
              <w:bottom w:val="single" w:sz="6" w:space="0" w:color="auto"/>
            </w:tcBorders>
          </w:tcPr>
          <w:p w14:paraId="78D5E8D9" w14:textId="77777777" w:rsidR="004E0BE9" w:rsidRPr="00E8547B" w:rsidRDefault="004E0BE9" w:rsidP="007D5631">
            <w:pPr>
              <w:pStyle w:val="Tablebody"/>
            </w:pPr>
          </w:p>
        </w:tc>
        <w:tc>
          <w:tcPr>
            <w:tcW w:w="1930" w:type="dxa"/>
            <w:tcBorders>
              <w:top w:val="single" w:sz="6" w:space="0" w:color="auto"/>
              <w:bottom w:val="single" w:sz="6" w:space="0" w:color="auto"/>
            </w:tcBorders>
          </w:tcPr>
          <w:p w14:paraId="4152CD42" w14:textId="77777777" w:rsidR="004E0BE9" w:rsidRPr="00E8547B" w:rsidRDefault="004E0BE9" w:rsidP="007D5631">
            <w:pPr>
              <w:pStyle w:val="Tablebody"/>
              <w:rPr>
                <w:color w:val="000000"/>
                <w:lang w:val="en-US"/>
              </w:rPr>
            </w:pPr>
          </w:p>
        </w:tc>
      </w:tr>
      <w:tr w:rsidR="004E0BE9" w:rsidRPr="00E8547B" w14:paraId="07382468" w14:textId="77777777" w:rsidTr="00835A42">
        <w:trPr>
          <w:jc w:val="center"/>
        </w:trPr>
        <w:tc>
          <w:tcPr>
            <w:tcW w:w="1836" w:type="dxa"/>
            <w:vMerge/>
            <w:tcBorders>
              <w:top w:val="single" w:sz="6" w:space="0" w:color="auto"/>
              <w:bottom w:val="single" w:sz="6" w:space="0" w:color="auto"/>
            </w:tcBorders>
          </w:tcPr>
          <w:p w14:paraId="32C72B5B" w14:textId="77777777" w:rsidR="004E0BE9" w:rsidRPr="00E8547B" w:rsidRDefault="004E0BE9" w:rsidP="007D5631">
            <w:pPr>
              <w:pStyle w:val="Tablebody"/>
            </w:pPr>
          </w:p>
        </w:tc>
        <w:tc>
          <w:tcPr>
            <w:tcW w:w="3119" w:type="dxa"/>
            <w:tcBorders>
              <w:top w:val="single" w:sz="6" w:space="0" w:color="auto"/>
              <w:bottom w:val="single" w:sz="6" w:space="0" w:color="auto"/>
            </w:tcBorders>
          </w:tcPr>
          <w:p w14:paraId="1DD7092B" w14:textId="77777777" w:rsidR="004E0BE9" w:rsidRPr="00E8547B" w:rsidRDefault="004E0BE9" w:rsidP="007D5631">
            <w:pPr>
              <w:pStyle w:val="Tablebody"/>
              <w:rPr>
                <w:color w:val="000000"/>
              </w:rPr>
            </w:pPr>
          </w:p>
        </w:tc>
        <w:tc>
          <w:tcPr>
            <w:tcW w:w="2126" w:type="dxa"/>
            <w:tcBorders>
              <w:top w:val="single" w:sz="6" w:space="0" w:color="auto"/>
              <w:bottom w:val="single" w:sz="6" w:space="0" w:color="auto"/>
            </w:tcBorders>
          </w:tcPr>
          <w:p w14:paraId="5D87788E" w14:textId="77777777" w:rsidR="004E0BE9" w:rsidRPr="00E8547B" w:rsidRDefault="004E0BE9" w:rsidP="007D5631">
            <w:pPr>
              <w:pStyle w:val="Tablebody"/>
            </w:pPr>
          </w:p>
        </w:tc>
        <w:tc>
          <w:tcPr>
            <w:tcW w:w="1930" w:type="dxa"/>
            <w:tcBorders>
              <w:top w:val="single" w:sz="6" w:space="0" w:color="auto"/>
              <w:bottom w:val="single" w:sz="6" w:space="0" w:color="auto"/>
            </w:tcBorders>
          </w:tcPr>
          <w:p w14:paraId="3128D9CC" w14:textId="77777777" w:rsidR="004E0BE9" w:rsidRPr="00E8547B" w:rsidRDefault="004E0BE9" w:rsidP="007D5631">
            <w:pPr>
              <w:pStyle w:val="Tablebody"/>
              <w:rPr>
                <w:color w:val="000000"/>
                <w:lang w:val="en-US"/>
              </w:rPr>
            </w:pPr>
          </w:p>
        </w:tc>
      </w:tr>
      <w:tr w:rsidR="004E0BE9" w:rsidRPr="00E8547B" w14:paraId="741AF6C3" w14:textId="77777777" w:rsidTr="00946052">
        <w:trPr>
          <w:jc w:val="center"/>
        </w:trPr>
        <w:tc>
          <w:tcPr>
            <w:tcW w:w="1836" w:type="dxa"/>
            <w:vMerge/>
            <w:tcBorders>
              <w:top w:val="single" w:sz="6" w:space="0" w:color="auto"/>
              <w:bottom w:val="single" w:sz="6" w:space="0" w:color="auto"/>
            </w:tcBorders>
          </w:tcPr>
          <w:p w14:paraId="0FD94D3A" w14:textId="77777777" w:rsidR="004E0BE9" w:rsidRPr="00E8547B" w:rsidRDefault="004E0BE9" w:rsidP="007D5631">
            <w:pPr>
              <w:pStyle w:val="Tablebody"/>
            </w:pPr>
          </w:p>
        </w:tc>
        <w:tc>
          <w:tcPr>
            <w:tcW w:w="3119" w:type="dxa"/>
            <w:tcBorders>
              <w:top w:val="single" w:sz="6" w:space="0" w:color="auto"/>
              <w:bottom w:val="single" w:sz="6" w:space="0" w:color="auto"/>
            </w:tcBorders>
          </w:tcPr>
          <w:p w14:paraId="1E745A54" w14:textId="77777777" w:rsidR="004E0BE9" w:rsidRPr="00E8547B" w:rsidRDefault="004E0BE9" w:rsidP="007D5631">
            <w:pPr>
              <w:pStyle w:val="Tablebody"/>
              <w:rPr>
                <w:color w:val="000000"/>
              </w:rPr>
            </w:pPr>
          </w:p>
        </w:tc>
        <w:tc>
          <w:tcPr>
            <w:tcW w:w="2126" w:type="dxa"/>
            <w:tcBorders>
              <w:top w:val="single" w:sz="6" w:space="0" w:color="auto"/>
              <w:bottom w:val="single" w:sz="6" w:space="0" w:color="auto"/>
            </w:tcBorders>
          </w:tcPr>
          <w:p w14:paraId="70B9FB17" w14:textId="77777777" w:rsidR="004E0BE9" w:rsidRPr="00E8547B" w:rsidRDefault="004E0BE9" w:rsidP="007D5631">
            <w:pPr>
              <w:pStyle w:val="Tablebody"/>
            </w:pPr>
          </w:p>
        </w:tc>
        <w:tc>
          <w:tcPr>
            <w:tcW w:w="1930" w:type="dxa"/>
            <w:tcBorders>
              <w:top w:val="single" w:sz="6" w:space="0" w:color="auto"/>
              <w:bottom w:val="single" w:sz="6" w:space="0" w:color="auto"/>
            </w:tcBorders>
          </w:tcPr>
          <w:p w14:paraId="29E29280" w14:textId="77777777" w:rsidR="004E0BE9" w:rsidRPr="00E8547B" w:rsidRDefault="004E0BE9" w:rsidP="007D5631">
            <w:pPr>
              <w:pStyle w:val="Tablebody"/>
              <w:rPr>
                <w:color w:val="000000"/>
                <w:lang w:val="en-US"/>
              </w:rPr>
            </w:pPr>
          </w:p>
        </w:tc>
      </w:tr>
      <w:tr w:rsidR="004E0BE9" w:rsidRPr="00E8547B" w14:paraId="7F9579A6" w14:textId="77777777" w:rsidTr="00946052">
        <w:trPr>
          <w:jc w:val="center"/>
        </w:trPr>
        <w:tc>
          <w:tcPr>
            <w:tcW w:w="1836" w:type="dxa"/>
            <w:tcBorders>
              <w:top w:val="single" w:sz="6" w:space="0" w:color="auto"/>
              <w:bottom w:val="single" w:sz="18" w:space="0" w:color="auto"/>
            </w:tcBorders>
          </w:tcPr>
          <w:p w14:paraId="497994DE" w14:textId="77777777" w:rsidR="004E0BE9" w:rsidRPr="00E8547B" w:rsidRDefault="004E0BE9" w:rsidP="007D5631">
            <w:pPr>
              <w:pStyle w:val="Tablebody"/>
              <w:rPr>
                <w:lang w:val="nl-BE"/>
              </w:rPr>
            </w:pPr>
            <w:r w:rsidRPr="006D57F5">
              <w:rPr>
                <w:lang w:val="nl-BE"/>
              </w:rPr>
              <w:t>ER x.y …</w:t>
            </w:r>
          </w:p>
        </w:tc>
        <w:tc>
          <w:tcPr>
            <w:tcW w:w="3119" w:type="dxa"/>
            <w:tcBorders>
              <w:top w:val="single" w:sz="6" w:space="0" w:color="auto"/>
              <w:bottom w:val="single" w:sz="18" w:space="0" w:color="auto"/>
            </w:tcBorders>
          </w:tcPr>
          <w:p w14:paraId="5850F691" w14:textId="77777777" w:rsidR="004E0BE9" w:rsidRPr="00A26A97" w:rsidRDefault="004E0BE9" w:rsidP="007D5631">
            <w:pPr>
              <w:pStyle w:val="Tablebody"/>
              <w:rPr>
                <w:color w:val="000000"/>
                <w:lang w:val="en-US"/>
              </w:rPr>
            </w:pPr>
            <w:r w:rsidRPr="00A26A97">
              <w:rPr>
                <w:color w:val="000000"/>
                <w:lang w:val="en-US"/>
              </w:rPr>
              <w:t>No presumption of conformity to a specific clause of the TSI.</w:t>
            </w:r>
          </w:p>
          <w:p w14:paraId="3510046C" w14:textId="77777777" w:rsidR="004E0BE9" w:rsidRPr="00A26A97" w:rsidRDefault="004E0BE9" w:rsidP="007D5631">
            <w:pPr>
              <w:pStyle w:val="Tablebody"/>
              <w:rPr>
                <w:color w:val="000000"/>
                <w:lang w:val="en-US"/>
              </w:rPr>
            </w:pPr>
            <w:r w:rsidRPr="00A26A97">
              <w:rPr>
                <w:color w:val="000000"/>
                <w:lang w:val="en-US"/>
              </w:rPr>
              <w:t>Or</w:t>
            </w:r>
          </w:p>
          <w:p w14:paraId="428684B7" w14:textId="77777777" w:rsidR="004E0BE9" w:rsidRPr="00E8547B" w:rsidRDefault="004E0BE9" w:rsidP="007D5631">
            <w:pPr>
              <w:pStyle w:val="Tablebody"/>
              <w:rPr>
                <w:color w:val="000000"/>
                <w:lang w:val="en-US"/>
              </w:rPr>
            </w:pPr>
            <w:r w:rsidRPr="00A26A97">
              <w:rPr>
                <w:color w:val="000000"/>
                <w:lang w:val="en-US"/>
              </w:rPr>
              <w:t>Not explicitly covered by the TSI.</w:t>
            </w:r>
          </w:p>
        </w:tc>
        <w:tc>
          <w:tcPr>
            <w:tcW w:w="2126" w:type="dxa"/>
            <w:tcBorders>
              <w:top w:val="single" w:sz="6" w:space="0" w:color="auto"/>
              <w:bottom w:val="single" w:sz="18" w:space="0" w:color="auto"/>
            </w:tcBorders>
          </w:tcPr>
          <w:p w14:paraId="3D9E4662" w14:textId="77777777" w:rsidR="004E0BE9" w:rsidRPr="00E8547B" w:rsidRDefault="004E0BE9" w:rsidP="007D5631">
            <w:pPr>
              <w:pStyle w:val="Tablebody"/>
            </w:pPr>
          </w:p>
        </w:tc>
        <w:tc>
          <w:tcPr>
            <w:tcW w:w="1930" w:type="dxa"/>
            <w:tcBorders>
              <w:top w:val="single" w:sz="6" w:space="0" w:color="auto"/>
              <w:bottom w:val="single" w:sz="18" w:space="0" w:color="auto"/>
            </w:tcBorders>
          </w:tcPr>
          <w:p w14:paraId="7BFEF8A3" w14:textId="77777777" w:rsidR="004E0BE9" w:rsidRPr="00E8547B" w:rsidRDefault="004E0BE9" w:rsidP="007D5631">
            <w:pPr>
              <w:pStyle w:val="Tablebody"/>
              <w:rPr>
                <w:color w:val="000000"/>
                <w:lang w:val="en-US"/>
              </w:rPr>
            </w:pPr>
          </w:p>
        </w:tc>
      </w:tr>
      <w:tr w:rsidR="007E76F5" w:rsidRPr="00E8547B" w14:paraId="3563D331" w14:textId="77777777" w:rsidTr="00946052">
        <w:trPr>
          <w:jc w:val="center"/>
        </w:trPr>
        <w:tc>
          <w:tcPr>
            <w:tcW w:w="9011" w:type="dxa"/>
            <w:gridSpan w:val="4"/>
            <w:tcBorders>
              <w:top w:val="single" w:sz="6" w:space="0" w:color="auto"/>
              <w:bottom w:val="single" w:sz="18" w:space="0" w:color="auto"/>
            </w:tcBorders>
          </w:tcPr>
          <w:p w14:paraId="2185C51E" w14:textId="772F4FA3" w:rsidR="007E76F5" w:rsidRPr="007D5631" w:rsidRDefault="007E76F5" w:rsidP="007D5631">
            <w:pPr>
              <w:pStyle w:val="Tablefooter"/>
              <w:rPr>
                <w:b/>
              </w:rPr>
            </w:pPr>
            <w:r w:rsidRPr="007D5631">
              <w:rPr>
                <w:bCs/>
                <w:vertAlign w:val="superscript"/>
              </w:rPr>
              <w:t>*</w:t>
            </w:r>
            <w:r w:rsidRPr="007D5631">
              <w:tab/>
            </w:r>
            <w:r w:rsidRPr="007D5631">
              <w:rPr>
                <w:b/>
              </w:rPr>
              <w:t xml:space="preserve">As amended by Commission Regulation (EU) No </w:t>
            </w:r>
            <w:r w:rsidR="000A3A79">
              <w:rPr>
                <w:b/>
              </w:rPr>
              <w:t>XXXX</w:t>
            </w:r>
            <w:r w:rsidRPr="007D5631">
              <w:rPr>
                <w:b/>
              </w:rPr>
              <w:t>/</w:t>
            </w:r>
            <w:r w:rsidR="000A3A79">
              <w:rPr>
                <w:b/>
              </w:rPr>
              <w:t>XXXX</w:t>
            </w:r>
            <w:r w:rsidRPr="007D5631">
              <w:rPr>
                <w:b/>
              </w:rPr>
              <w:t xml:space="preserve">, </w:t>
            </w:r>
            <w:r w:rsidR="000A3A79" w:rsidRPr="007D5631">
              <w:rPr>
                <w:b/>
              </w:rPr>
              <w:t xml:space="preserve">Commission </w:t>
            </w:r>
            <w:r w:rsidR="000A3A79">
              <w:rPr>
                <w:b/>
              </w:rPr>
              <w:t xml:space="preserve">Implementing </w:t>
            </w:r>
            <w:r w:rsidR="000A3A79" w:rsidRPr="007D5631">
              <w:rPr>
                <w:b/>
              </w:rPr>
              <w:t xml:space="preserve">Regulation (EU) No </w:t>
            </w:r>
            <w:r w:rsidR="000A3A79">
              <w:rPr>
                <w:b/>
              </w:rPr>
              <w:t>XXXX</w:t>
            </w:r>
            <w:r w:rsidR="000A3A79" w:rsidRPr="007D5631">
              <w:rPr>
                <w:b/>
              </w:rPr>
              <w:t>/</w:t>
            </w:r>
            <w:r w:rsidR="000A3A79">
              <w:rPr>
                <w:b/>
              </w:rPr>
              <w:t>XXXX</w:t>
            </w:r>
            <w:r w:rsidR="000A3A79" w:rsidRPr="007D5631">
              <w:rPr>
                <w:b/>
              </w:rPr>
              <w:t xml:space="preserve"> </w:t>
            </w:r>
            <w:r w:rsidRPr="007D5631">
              <w:rPr>
                <w:b/>
              </w:rPr>
              <w:t xml:space="preserve">and Commission Implementing Regulation (EU) </w:t>
            </w:r>
            <w:r w:rsidR="000A3A79">
              <w:rPr>
                <w:b/>
              </w:rPr>
              <w:t>XXXX/XXXX</w:t>
            </w:r>
          </w:p>
          <w:p w14:paraId="561D1963" w14:textId="23E7E2C5" w:rsidR="00946052" w:rsidRPr="00946052" w:rsidRDefault="00946052" w:rsidP="007D5631">
            <w:pPr>
              <w:pStyle w:val="Tablefooternote"/>
            </w:pPr>
            <w:r w:rsidRPr="00946052">
              <w:t>NOTE</w:t>
            </w:r>
            <w:r w:rsidRPr="00946052">
              <w:tab/>
              <w:t>The Technical Specification for Interoperability (TSI) can refer to other clauses of this standard making the application of those clauses mandatory. Possible references to such clauses are found in the Appendix D to the TSI.</w:t>
            </w:r>
          </w:p>
        </w:tc>
      </w:tr>
    </w:tbl>
    <w:p w14:paraId="7522E440" w14:textId="77777777" w:rsidR="007E76F5" w:rsidRDefault="007E76F5" w:rsidP="008B3279">
      <w:pPr>
        <w:pStyle w:val="BodyText"/>
        <w:rPr>
          <w:lang w:eastAsia="de-DE"/>
        </w:rPr>
      </w:pPr>
    </w:p>
    <w:p w14:paraId="7647F281" w14:textId="1C1BC91D" w:rsidR="004E0BE9" w:rsidRDefault="004E0BE9" w:rsidP="000A3A79">
      <w:pPr>
        <w:pStyle w:val="Notice"/>
        <w:jc w:val="both"/>
      </w:pPr>
      <w:r w:rsidRPr="00A26A97">
        <w:rPr>
          <w:b/>
          <w:bCs/>
        </w:rPr>
        <w:t xml:space="preserve">WARNING 1 — </w:t>
      </w:r>
      <w:r w:rsidRPr="00A26A97">
        <w:t xml:space="preserve">Presumption of conformity stays valid only as long as a reference to this European Standard is maintained in the list published in the Official </w:t>
      </w:r>
      <w:r w:rsidRPr="008B3279">
        <w:t>Journal</w:t>
      </w:r>
      <w:r w:rsidRPr="00A26A97">
        <w:t xml:space="preserve"> of the European Union. Users of this standard should consult frequently the latest list published in the Official Journal of the European Union. </w:t>
      </w:r>
    </w:p>
    <w:p w14:paraId="412F3D6B" w14:textId="5EC0D1A1" w:rsidR="004E0BE9" w:rsidRDefault="004E0BE9" w:rsidP="000A3A79">
      <w:pPr>
        <w:pStyle w:val="Notice"/>
        <w:jc w:val="both"/>
      </w:pPr>
      <w:r w:rsidRPr="00AA6B51">
        <w:rPr>
          <w:b/>
        </w:rPr>
        <w:t>WARNING 2</w:t>
      </w:r>
      <w:r w:rsidRPr="00A26A97">
        <w:rPr>
          <w:bCs/>
        </w:rPr>
        <w:t xml:space="preserve"> — </w:t>
      </w:r>
      <w:r w:rsidRPr="00A26A97">
        <w:t>Other Union legislation may be applicable to the products falling within the scope of this standard.</w:t>
      </w:r>
    </w:p>
    <w:p w14:paraId="7219445C" w14:textId="77777777" w:rsidR="004E0BE9" w:rsidRDefault="004E0BE9" w:rsidP="008B3279">
      <w:pPr>
        <w:pStyle w:val="BodyText"/>
      </w:pPr>
    </w:p>
    <w:sectPr w:rsidR="004E0B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A05C3"/>
    <w:multiLevelType w:val="multilevel"/>
    <w:tmpl w:val="F3467852"/>
    <w:lvl w:ilvl="0">
      <w:start w:val="1"/>
      <w:numFmt w:val="upperLetter"/>
      <w:pStyle w:val="ANNEXZ"/>
      <w:suff w:val="nothing"/>
      <w:lvlText w:val="Annex Z%1"/>
      <w:lvlJc w:val="left"/>
      <w:pPr>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decimal"/>
      <w:pStyle w:val="za2"/>
      <w:lvlText w:val="Z%1.%2"/>
      <w:lvlJc w:val="left"/>
      <w:pPr>
        <w:tabs>
          <w:tab w:val="num" w:pos="0"/>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pStyle w:val="za3"/>
      <w:lvlText w:val="Z%1.%2.%3"/>
      <w:lvlJc w:val="left"/>
      <w:pPr>
        <w:tabs>
          <w:tab w:val="num" w:pos="794"/>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3">
      <w:start w:val="1"/>
      <w:numFmt w:val="decimal"/>
      <w:pStyle w:val="za4"/>
      <w:lvlText w:val="Z%1.%2.%3.%4"/>
      <w:lvlJc w:val="left"/>
      <w:pPr>
        <w:tabs>
          <w:tab w:val="num" w:pos="108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4">
      <w:start w:val="1"/>
      <w:numFmt w:val="decimal"/>
      <w:pStyle w:val="za5"/>
      <w:lvlText w:val="Z%1.%2.%3.%4.%5"/>
      <w:lvlJc w:val="left"/>
      <w:pPr>
        <w:tabs>
          <w:tab w:val="num" w:pos="108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5">
      <w:start w:val="1"/>
      <w:numFmt w:val="decimal"/>
      <w:pStyle w:val="za6"/>
      <w:lvlText w:val="Z%1.%2.%3.%4.%5.%6"/>
      <w:lvlJc w:val="left"/>
      <w:pPr>
        <w:tabs>
          <w:tab w:val="num" w:pos="144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num w:numId="1" w16cid:durableId="1963491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E0BE9"/>
    <w:rsid w:val="000A3A79"/>
    <w:rsid w:val="000C34CD"/>
    <w:rsid w:val="000E3AAC"/>
    <w:rsid w:val="002052AD"/>
    <w:rsid w:val="00493EDF"/>
    <w:rsid w:val="004E0BE9"/>
    <w:rsid w:val="00677DBB"/>
    <w:rsid w:val="006D57F5"/>
    <w:rsid w:val="00734741"/>
    <w:rsid w:val="00784535"/>
    <w:rsid w:val="007D5631"/>
    <w:rsid w:val="007E76F5"/>
    <w:rsid w:val="00835A42"/>
    <w:rsid w:val="008B3279"/>
    <w:rsid w:val="00946052"/>
    <w:rsid w:val="009A19F3"/>
    <w:rsid w:val="00A55F19"/>
    <w:rsid w:val="00AA6B51"/>
    <w:rsid w:val="00B57010"/>
    <w:rsid w:val="00BD661E"/>
    <w:rsid w:val="00DB2DAA"/>
    <w:rsid w:val="00DF12C8"/>
    <w:rsid w:val="00E649B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68027"/>
  <w15:chartTrackingRefBased/>
  <w15:docId w15:val="{5C80E389-CFDA-4EA4-BA77-513D8C72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BE9"/>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7E76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E0BE9"/>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E0BE9"/>
    <w:rPr>
      <w:sz w:val="20"/>
      <w:szCs w:val="20"/>
    </w:rPr>
  </w:style>
  <w:style w:type="table" w:styleId="TableGrid">
    <w:name w:val="Table Grid"/>
    <w:basedOn w:val="TableNormal"/>
    <w:uiPriority w:val="39"/>
    <w:rsid w:val="004E0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Z">
    <w:name w:val="ANNEXZ"/>
    <w:basedOn w:val="Normal"/>
    <w:link w:val="ANNEXZChar"/>
    <w:rsid w:val="004E0BE9"/>
    <w:pPr>
      <w:keepNext/>
      <w:pageBreakBefore/>
      <w:numPr>
        <w:numId w:val="1"/>
      </w:numPr>
      <w:autoSpaceDE w:val="0"/>
      <w:autoSpaceDN w:val="0"/>
      <w:adjustRightInd w:val="0"/>
      <w:spacing w:after="760" w:line="310" w:lineRule="exact"/>
      <w:jc w:val="center"/>
      <w:outlineLvl w:val="0"/>
    </w:pPr>
    <w:rPr>
      <w:rFonts w:ascii="Cambria" w:hAnsi="Cambria"/>
      <w:b/>
      <w:sz w:val="28"/>
      <w:szCs w:val="24"/>
    </w:rPr>
  </w:style>
  <w:style w:type="paragraph" w:styleId="BodyText">
    <w:name w:val="Body Text"/>
    <w:basedOn w:val="Normal"/>
    <w:link w:val="BodyTextChar"/>
    <w:uiPriority w:val="99"/>
    <w:unhideWhenUsed/>
    <w:rsid w:val="008B3279"/>
    <w:pPr>
      <w:spacing w:after="120" w:line="264" w:lineRule="auto"/>
      <w:jc w:val="both"/>
    </w:pPr>
    <w:rPr>
      <w:rFonts w:ascii="Cambria" w:hAnsi="Cambria"/>
    </w:rPr>
  </w:style>
  <w:style w:type="character" w:customStyle="1" w:styleId="BodyTextChar">
    <w:name w:val="Body Text Char"/>
    <w:basedOn w:val="DefaultParagraphFont"/>
    <w:link w:val="BodyText"/>
    <w:uiPriority w:val="99"/>
    <w:rsid w:val="008B3279"/>
    <w:rPr>
      <w:rFonts w:ascii="Cambria" w:eastAsia="Calibri" w:hAnsi="Cambria" w:cs="Times New Roman"/>
    </w:rPr>
  </w:style>
  <w:style w:type="paragraph" w:customStyle="1" w:styleId="Tabletitle">
    <w:name w:val="Table title"/>
    <w:basedOn w:val="Normal"/>
    <w:link w:val="TabletitleChar"/>
    <w:rsid w:val="004E0BE9"/>
    <w:pPr>
      <w:keepNext/>
      <w:suppressAutoHyphens/>
      <w:spacing w:before="120" w:after="120" w:line="240" w:lineRule="atLeast"/>
      <w:jc w:val="center"/>
    </w:pPr>
    <w:rPr>
      <w:rFonts w:ascii="Cambria" w:hAnsi="Cambria"/>
      <w:b/>
    </w:rPr>
  </w:style>
  <w:style w:type="paragraph" w:customStyle="1" w:styleId="za2">
    <w:name w:val="za2"/>
    <w:basedOn w:val="Normal"/>
    <w:next w:val="BodyText"/>
    <w:rsid w:val="004E0BE9"/>
    <w:pPr>
      <w:keepNext/>
      <w:numPr>
        <w:ilvl w:val="1"/>
        <w:numId w:val="1"/>
      </w:numPr>
      <w:tabs>
        <w:tab w:val="left" w:pos="499"/>
        <w:tab w:val="left" w:pos="720"/>
      </w:tabs>
      <w:spacing w:before="270" w:after="240" w:line="270" w:lineRule="exact"/>
      <w:outlineLvl w:val="0"/>
    </w:pPr>
    <w:rPr>
      <w:rFonts w:ascii="Cambria" w:hAnsi="Cambria"/>
      <w:b/>
      <w:sz w:val="26"/>
    </w:rPr>
  </w:style>
  <w:style w:type="paragraph" w:customStyle="1" w:styleId="za3">
    <w:name w:val="za3"/>
    <w:basedOn w:val="Normal"/>
    <w:rsid w:val="004E0BE9"/>
    <w:pPr>
      <w:keepNext/>
      <w:numPr>
        <w:ilvl w:val="2"/>
        <w:numId w:val="1"/>
      </w:numPr>
      <w:tabs>
        <w:tab w:val="left" w:pos="851"/>
      </w:tabs>
      <w:spacing w:after="240" w:line="250" w:lineRule="exact"/>
      <w:outlineLvl w:val="0"/>
    </w:pPr>
    <w:rPr>
      <w:rFonts w:ascii="Cambria" w:hAnsi="Cambria"/>
      <w:b/>
      <w:sz w:val="24"/>
    </w:rPr>
  </w:style>
  <w:style w:type="paragraph" w:customStyle="1" w:styleId="za4">
    <w:name w:val="za4"/>
    <w:basedOn w:val="Normal"/>
    <w:rsid w:val="004E0BE9"/>
    <w:pPr>
      <w:keepNext/>
      <w:numPr>
        <w:ilvl w:val="3"/>
        <w:numId w:val="1"/>
      </w:numPr>
      <w:tabs>
        <w:tab w:val="left" w:pos="992"/>
      </w:tabs>
      <w:spacing w:after="240" w:line="240" w:lineRule="atLeast"/>
      <w:outlineLvl w:val="0"/>
    </w:pPr>
    <w:rPr>
      <w:rFonts w:ascii="Cambria" w:hAnsi="Cambria"/>
      <w:b/>
    </w:rPr>
  </w:style>
  <w:style w:type="paragraph" w:customStyle="1" w:styleId="za5">
    <w:name w:val="za5"/>
    <w:basedOn w:val="Normal"/>
    <w:rsid w:val="004E0BE9"/>
    <w:pPr>
      <w:keepNext/>
      <w:numPr>
        <w:ilvl w:val="4"/>
        <w:numId w:val="1"/>
      </w:numPr>
      <w:tabs>
        <w:tab w:val="left" w:pos="1106"/>
      </w:tabs>
      <w:spacing w:after="240" w:line="240" w:lineRule="atLeast"/>
      <w:outlineLvl w:val="0"/>
    </w:pPr>
    <w:rPr>
      <w:rFonts w:ascii="Cambria" w:hAnsi="Cambria"/>
      <w:b/>
    </w:rPr>
  </w:style>
  <w:style w:type="paragraph" w:customStyle="1" w:styleId="za6">
    <w:name w:val="za6"/>
    <w:basedOn w:val="Normal"/>
    <w:next w:val="BodyText"/>
    <w:rsid w:val="004E0BE9"/>
    <w:pPr>
      <w:keepNext/>
      <w:numPr>
        <w:ilvl w:val="5"/>
        <w:numId w:val="1"/>
      </w:numPr>
      <w:tabs>
        <w:tab w:val="left" w:pos="1219"/>
      </w:tabs>
      <w:spacing w:after="240" w:line="240" w:lineRule="atLeast"/>
      <w:outlineLvl w:val="0"/>
    </w:pPr>
    <w:rPr>
      <w:rFonts w:ascii="Cambria" w:hAnsi="Cambria"/>
      <w:b/>
    </w:rPr>
  </w:style>
  <w:style w:type="character" w:customStyle="1" w:styleId="TabletitleChar">
    <w:name w:val="Table title Char"/>
    <w:link w:val="Tabletitle"/>
    <w:rsid w:val="004E0BE9"/>
    <w:rPr>
      <w:rFonts w:ascii="Cambria" w:eastAsia="Calibri" w:hAnsi="Cambria" w:cs="Times New Roman"/>
      <w:b/>
    </w:rPr>
  </w:style>
  <w:style w:type="character" w:customStyle="1" w:styleId="ANNEXZChar">
    <w:name w:val="ANNEXZ Char"/>
    <w:basedOn w:val="DefaultParagraphFont"/>
    <w:link w:val="ANNEXZ"/>
    <w:rsid w:val="004E0BE9"/>
    <w:rPr>
      <w:rFonts w:ascii="Cambria" w:eastAsia="Calibri" w:hAnsi="Cambria" w:cs="Times New Roman"/>
      <w:b/>
      <w:sz w:val="28"/>
      <w:szCs w:val="24"/>
    </w:rPr>
  </w:style>
  <w:style w:type="character" w:customStyle="1" w:styleId="Heading2Char">
    <w:name w:val="Heading 2 Char"/>
    <w:basedOn w:val="DefaultParagraphFont"/>
    <w:link w:val="Heading2"/>
    <w:uiPriority w:val="9"/>
    <w:rsid w:val="007E76F5"/>
    <w:rPr>
      <w:rFonts w:asciiTheme="majorHAnsi" w:eastAsiaTheme="majorEastAsia" w:hAnsiTheme="majorHAnsi" w:cstheme="majorBidi"/>
      <w:color w:val="2E74B5" w:themeColor="accent1" w:themeShade="BF"/>
      <w:sz w:val="26"/>
      <w:szCs w:val="26"/>
    </w:rPr>
  </w:style>
  <w:style w:type="paragraph" w:customStyle="1" w:styleId="Note">
    <w:name w:val="Note"/>
    <w:basedOn w:val="BodyText"/>
    <w:qFormat/>
    <w:rsid w:val="007E76F5"/>
    <w:rPr>
      <w:sz w:val="20"/>
      <w:szCs w:val="20"/>
    </w:rPr>
  </w:style>
  <w:style w:type="paragraph" w:customStyle="1" w:styleId="Notice">
    <w:name w:val="Notice"/>
    <w:basedOn w:val="Normal"/>
    <w:qFormat/>
    <w:rsid w:val="008B3279"/>
    <w:pPr>
      <w:autoSpaceDE w:val="0"/>
      <w:autoSpaceDN w:val="0"/>
      <w:adjustRightInd w:val="0"/>
      <w:spacing w:after="100" w:afterAutospacing="1" w:line="264" w:lineRule="auto"/>
      <w:ind w:right="-187"/>
    </w:pPr>
    <w:rPr>
      <w:rFonts w:ascii="Cambria" w:eastAsia="Cambria" w:hAnsi="Cambria" w:cs="Cambria"/>
      <w:color w:val="000000"/>
      <w:lang w:eastAsia="de-DE"/>
    </w:rPr>
  </w:style>
  <w:style w:type="paragraph" w:customStyle="1" w:styleId="Tableheader">
    <w:name w:val="Table header"/>
    <w:basedOn w:val="Normal"/>
    <w:link w:val="TableheaderChar"/>
    <w:rsid w:val="007D5631"/>
    <w:pPr>
      <w:spacing w:before="60" w:after="60" w:line="210" w:lineRule="atLeast"/>
    </w:pPr>
    <w:rPr>
      <w:rFonts w:ascii="Cambria" w:hAnsi="Cambria"/>
    </w:rPr>
  </w:style>
  <w:style w:type="character" w:customStyle="1" w:styleId="TableheaderChar">
    <w:name w:val="Table header Char"/>
    <w:basedOn w:val="DefaultParagraphFont"/>
    <w:link w:val="Tableheader"/>
    <w:rsid w:val="007D5631"/>
    <w:rPr>
      <w:rFonts w:ascii="Cambria" w:eastAsia="Calibri" w:hAnsi="Cambria" w:cs="Times New Roman"/>
    </w:rPr>
  </w:style>
  <w:style w:type="paragraph" w:customStyle="1" w:styleId="Tablefooternote">
    <w:name w:val="Table footer note"/>
    <w:basedOn w:val="Normal"/>
    <w:qFormat/>
    <w:rsid w:val="007D5631"/>
    <w:pPr>
      <w:tabs>
        <w:tab w:val="left" w:pos="346"/>
      </w:tabs>
      <w:spacing w:before="60" w:after="60" w:line="200" w:lineRule="atLeast"/>
      <w:jc w:val="both"/>
    </w:pPr>
    <w:rPr>
      <w:rFonts w:ascii="Cambria" w:hAnsi="Cambria"/>
      <w:sz w:val="20"/>
    </w:rPr>
  </w:style>
  <w:style w:type="paragraph" w:customStyle="1" w:styleId="Tablefooter">
    <w:name w:val="Table footer"/>
    <w:basedOn w:val="Normal"/>
    <w:rsid w:val="007D5631"/>
    <w:pPr>
      <w:tabs>
        <w:tab w:val="left" w:pos="346"/>
      </w:tabs>
      <w:spacing w:before="60" w:after="60" w:line="200" w:lineRule="atLeast"/>
      <w:jc w:val="both"/>
    </w:pPr>
    <w:rPr>
      <w:rFonts w:ascii="Cambria" w:hAnsi="Cambria"/>
      <w:sz w:val="20"/>
    </w:rPr>
  </w:style>
  <w:style w:type="paragraph" w:customStyle="1" w:styleId="Tablebody">
    <w:name w:val="Table body"/>
    <w:basedOn w:val="Normal"/>
    <w:link w:val="TablebodyChar"/>
    <w:rsid w:val="007D5631"/>
    <w:pPr>
      <w:spacing w:before="60" w:after="60" w:line="210" w:lineRule="atLeast"/>
    </w:pPr>
    <w:rPr>
      <w:rFonts w:ascii="Cambria" w:hAnsi="Cambria"/>
    </w:rPr>
  </w:style>
  <w:style w:type="character" w:customStyle="1" w:styleId="TablebodyChar">
    <w:name w:val="Table body Char"/>
    <w:link w:val="Tablebody"/>
    <w:locked/>
    <w:rsid w:val="007D5631"/>
    <w:rPr>
      <w:rFonts w:ascii="Cambria" w:eastAsia="Calibri"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E1B49CF51A9F429440A3C78B816EED" ma:contentTypeVersion="0" ma:contentTypeDescription="Create a new document." ma:contentTypeScope="" ma:versionID="269333055b410e1980164bf1d6cf1bb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6E4FE80-FDEC-4857-B534-D4D74923A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FE88A9C-933F-4431-A61C-FA73B880D84E}">
  <ds:schemaRefs>
    <ds:schemaRef ds:uri="http://schemas.microsoft.com/sharepoint/v3/contenttype/forms"/>
  </ds:schemaRefs>
</ds:datastoreItem>
</file>

<file path=customXml/itemProps3.xml><?xml version="1.0" encoding="utf-8"?>
<ds:datastoreItem xmlns:ds="http://schemas.openxmlformats.org/officeDocument/2006/customXml" ds:itemID="{EE27D5D5-6F3C-4BCF-B9E3-A083F3D4A37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CENCENELEC</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Legrand Thierry</dc:creator>
  <cp:keywords/>
  <dc:description/>
  <cp:lastModifiedBy>Carreira da Cruz Marc-Antoine</cp:lastModifiedBy>
  <cp:revision>7</cp:revision>
  <dcterms:created xsi:type="dcterms:W3CDTF">2021-04-30T07:32:00Z</dcterms:created>
  <dcterms:modified xsi:type="dcterms:W3CDTF">2023-10-02T07:48:00Z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0x01010066E1B49CF51A9F429440A3C78B816EED</vt:lpwstr>
  </property>
</Properties>
</file>